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DISCIPLINAS OBRIGATÓRIAS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240" w:before="240" w:line="360" w:lineRule="auto"/>
        <w:ind w:left="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PESQUISA E METODOLOGIA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Pesquisa em educação: pressupostos e tendências. Abordagens teórico-metodológicas de pesquisas em Educação. Fundamentos epistemológicos de pesquisas em educação.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240" w:line="360" w:lineRule="auto"/>
        <w:ind w:left="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TEORIAS CONTEMPORÂNEAS EM EDUCAÇÃO MATEMÁTICA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Essa disciplina contempla estudo de teorias amplamente utilizadas como aportes de pesquisas em Educação Matemática, incluindo as que foram desenvolvidas a partir da contribuição de outras áreas do conhecimento, como História, Sociologia, Psicologia, Antropologia, Matemática e Educação, além das que foram construídas dentro do próprio campo de pesquisa em Educação Matemática.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principal objetivo dessa disciplina é proporcionar aos doutorandos uma visão geral de pesquisas apresentadas em eventos e periódicos nacionais e internacionais, bem como suscitar aprofundamentos a serem desenvolvidos nas disciplinas de Seminários Avançados.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240" w:line="360" w:lineRule="auto"/>
        <w:ind w:left="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SEMINÁRIOS DE TESE I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Elementos teóricos e metodológicos essenciais para estruturação e avanço dos referenciais de pesquisa de doutorado. Processos de discussão conjunta e consolidação das pesquisas em desenvolvimento pelos doutorandos das diferentes linhas de pesquisa.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40" w:before="240" w:line="360" w:lineRule="auto"/>
        <w:ind w:left="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SEMINÁRIOS DE TESE II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Elementos teóricos e metodológicos essenciais para estruturação e avanço dos referenciais de pesquisa de doutorado. Processos de discussão conjunta e consolidação das pesquisas em desenvolvimento pelos doutorandos das diferentes linhas de pesquisa.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240" w:line="360" w:lineRule="auto"/>
        <w:ind w:left="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SEMINÁRIO AVANÇADO DE PESQUISA I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 seminário tem ementa variável, sendo dedicado à discussão de temas não contemplados nas disciplinas obrigatórias ou optativas, bem como ao aprofundamento de aspectos teóricos e metodológicos já abordados em disciplinas cursadas pelos doutorandos. O seminário pode ser realizado por linhas de pesquisa e ministrado tanto por docentes permanentes, quanto por colaboradores ou visitantes. Quanto à modalidade, pode ser a distância ou presencial. A flexibilidade de oferecimento deste seminário também contempla períodos alternativos, como o recesso acadêmico.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240" w:line="360" w:lineRule="auto"/>
        <w:ind w:left="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SEMINÁRIO AVANÇADO DE PESQUISA II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Esse seminário tem ementa variável, sendo dedicado à discussão de temas não contemplados nas disciplinas obrigatórias ou optativas, bem como ao aprofundamento de aspectos teóricos e metodológicos já abordados nas disciplinas cursadas pelos doutorandos. O seminário pode ser realizado por linhas de pesquisa e ministrado tanto por docentes permanentes, quanto por colaboradores ou visitantes. Quanto à modalidade, pode ser a distância ou presencial. A flexibilidade de oferecimento deste seminário também contempla períodos alternativos, como o recesso acadêmico.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9" w:w="11907" w:orient="portrait"/>
      <w:pgMar w:bottom="1418" w:top="1985" w:left="1797" w:right="992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G Tim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G Times" w:cs="CG Times" w:eastAsia="CG Times" w:hAnsi="CG Time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de Matemática - INMA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Costa e Silva s/nº - Bairro Universitário – 3345-7139/7146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79070-900 Campo Grande-MS / http:www.ppgedumat.ufms.br e-mail: edumat.inma@ufms.br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b w:val="1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b w:val="1"/>
        <w:rtl w:val="0"/>
      </w:rPr>
      <w:t xml:space="preserve">Serviço Público Federal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b w:val="1"/>
      </w:rPr>
    </w:pPr>
    <w:r w:rsidDel="00000000" w:rsidR="00000000" w:rsidRPr="00000000">
      <w:rPr>
        <w:b w:val="1"/>
        <w:rtl w:val="0"/>
      </w:rPr>
      <w:tab/>
      <w:t xml:space="preserve">Ministério da Educação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1"/>
        <w:rtl w:val="0"/>
      </w:rPr>
      <w:tab/>
      <w:t xml:space="preserve">Fundação Universidade Federal de Mato Grosso do Sul</w:t>
    </w:r>
    <w:r w:rsidDel="00000000" w:rsidR="00000000" w:rsidRPr="00000000"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6200775</wp:posOffset>
          </wp:positionH>
          <wp:positionV relativeFrom="page">
            <wp:posOffset>153670</wp:posOffset>
          </wp:positionV>
          <wp:extent cx="731520" cy="95504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1520" cy="9550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885190</wp:posOffset>
          </wp:positionH>
          <wp:positionV relativeFrom="page">
            <wp:posOffset>144780</wp:posOffset>
          </wp:positionV>
          <wp:extent cx="918210" cy="99568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8210" cy="9956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G Times" w:cs="CG Times" w:eastAsia="CG Times" w:hAnsi="CG Times"/>
        <w:lang w:val="pt_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GTimes-regular.ttf"/><Relationship Id="rId2" Type="http://schemas.openxmlformats.org/officeDocument/2006/relationships/font" Target="fonts/CGTimes-bold.ttf"/><Relationship Id="rId3" Type="http://schemas.openxmlformats.org/officeDocument/2006/relationships/font" Target="fonts/CGTimes-italic.ttf"/><Relationship Id="rId4" Type="http://schemas.openxmlformats.org/officeDocument/2006/relationships/font" Target="fonts/CGTimes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